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50545C" w:rsidRDefault="00283557" w:rsidP="003E55C1">
      <w:pPr>
        <w:spacing w:after="0"/>
        <w:ind w:right="49"/>
        <w:jc w:val="center"/>
        <w:rPr>
          <w:rFonts w:ascii="Arial" w:hAnsi="Arial" w:cs="Arial"/>
          <w:b/>
          <w:color w:val="0070C0"/>
          <w:sz w:val="28"/>
          <w:szCs w:val="28"/>
        </w:rPr>
      </w:pPr>
      <w:r>
        <w:rPr>
          <w:rFonts w:ascii="Arial" w:hAnsi="Arial" w:cs="Arial"/>
          <w:b/>
          <w:color w:val="0070C0"/>
          <w:sz w:val="28"/>
          <w:szCs w:val="28"/>
        </w:rPr>
        <w:t xml:space="preserve">Subdirección Médica </w:t>
      </w:r>
      <w:r w:rsidR="00280DDD">
        <w:rPr>
          <w:rFonts w:ascii="Arial" w:hAnsi="Arial" w:cs="Arial"/>
          <w:b/>
          <w:color w:val="0070C0"/>
          <w:sz w:val="28"/>
          <w:szCs w:val="28"/>
        </w:rPr>
        <w:t>de la Unidad Hospitalaria</w:t>
      </w:r>
    </w:p>
    <w:p w:rsidR="00CD05D6" w:rsidRDefault="0050545C" w:rsidP="003E55C1">
      <w:pPr>
        <w:spacing w:after="0"/>
        <w:ind w:right="49"/>
        <w:jc w:val="center"/>
        <w:rPr>
          <w:rFonts w:ascii="Arial" w:hAnsi="Arial" w:cs="Arial"/>
          <w:b/>
          <w:color w:val="0070C0"/>
          <w:sz w:val="28"/>
          <w:szCs w:val="28"/>
        </w:rPr>
      </w:pPr>
      <w:r>
        <w:rPr>
          <w:rFonts w:ascii="Arial" w:hAnsi="Arial" w:cs="Arial"/>
          <w:b/>
          <w:color w:val="0070C0"/>
          <w:sz w:val="28"/>
          <w:szCs w:val="28"/>
        </w:rPr>
        <w:t>Dr. Juan I. Menchaca</w:t>
      </w:r>
    </w:p>
    <w:p w:rsidR="0050545C" w:rsidRPr="003E55C1" w:rsidRDefault="0050545C" w:rsidP="003E55C1">
      <w:pPr>
        <w:spacing w:after="0"/>
        <w:ind w:right="49"/>
        <w:jc w:val="center"/>
        <w:rPr>
          <w:rFonts w:ascii="Arial" w:hAnsi="Arial" w:cs="Arial"/>
          <w:b/>
          <w:color w:val="0070C0"/>
          <w:sz w:val="28"/>
          <w:szCs w:val="28"/>
        </w:rPr>
      </w:pPr>
    </w:p>
    <w:p w:rsidR="00DF42C0" w:rsidRPr="00DF42C0" w:rsidRDefault="006713CF" w:rsidP="0050545C">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w:t>
      </w:r>
      <w:r w:rsidR="0050545C">
        <w:rPr>
          <w:rFonts w:ascii="Arial" w:hAnsi="Arial" w:cs="Arial"/>
          <w:color w:val="000000"/>
          <w:sz w:val="24"/>
          <w:szCs w:val="24"/>
        </w:rPr>
        <w:t xml:space="preserve">la </w:t>
      </w:r>
      <w:r w:rsidR="00283557">
        <w:rPr>
          <w:rFonts w:ascii="Arial" w:hAnsi="Arial" w:cs="Arial"/>
          <w:color w:val="000000"/>
          <w:sz w:val="24"/>
          <w:szCs w:val="24"/>
        </w:rPr>
        <w:t xml:space="preserve">Subdirección Médica </w:t>
      </w:r>
      <w:r w:rsidR="00283557" w:rsidRPr="0050545C">
        <w:rPr>
          <w:rFonts w:ascii="Arial" w:hAnsi="Arial" w:cs="Arial"/>
          <w:color w:val="000000"/>
          <w:sz w:val="24"/>
          <w:szCs w:val="24"/>
        </w:rPr>
        <w:t>de</w:t>
      </w:r>
      <w:r w:rsidR="00280DDD">
        <w:rPr>
          <w:rFonts w:ascii="Arial" w:hAnsi="Arial" w:cs="Arial"/>
          <w:color w:val="000000"/>
          <w:sz w:val="24"/>
          <w:szCs w:val="24"/>
        </w:rPr>
        <w:t xml:space="preserve"> la Unidad Hospitalaria</w:t>
      </w:r>
      <w:r w:rsidR="0050545C">
        <w:rPr>
          <w:rFonts w:ascii="Arial" w:hAnsi="Arial" w:cs="Arial"/>
          <w:color w:val="000000"/>
          <w:sz w:val="24"/>
          <w:szCs w:val="24"/>
        </w:rPr>
        <w:t xml:space="preserve"> </w:t>
      </w:r>
      <w:r w:rsidR="0050545C" w:rsidRPr="0050545C">
        <w:rPr>
          <w:rFonts w:ascii="Arial" w:hAnsi="Arial" w:cs="Arial"/>
          <w:color w:val="000000"/>
          <w:sz w:val="24"/>
          <w:szCs w:val="24"/>
        </w:rPr>
        <w:t>Dr. Juan I. Menchaca</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523ABB" w:rsidRDefault="0050545C" w:rsidP="00DF42C0">
      <w:pPr>
        <w:spacing w:after="240" w:line="240" w:lineRule="auto"/>
        <w:ind w:right="49"/>
        <w:jc w:val="both"/>
        <w:rPr>
          <w:rFonts w:ascii="Arial" w:hAnsi="Arial" w:cs="Arial"/>
          <w:b/>
          <w:sz w:val="24"/>
          <w:szCs w:val="24"/>
        </w:rPr>
      </w:pPr>
      <w:r>
        <w:rPr>
          <w:rFonts w:ascii="Arial" w:hAnsi="Arial" w:cs="Arial"/>
          <w:sz w:val="24"/>
          <w:szCs w:val="24"/>
        </w:rPr>
        <w:t>L</w:t>
      </w:r>
      <w:r w:rsidRPr="0050545C">
        <w:rPr>
          <w:rFonts w:ascii="Arial" w:hAnsi="Arial" w:cs="Arial"/>
          <w:sz w:val="24"/>
          <w:szCs w:val="24"/>
        </w:rPr>
        <w:t xml:space="preserve">a </w:t>
      </w:r>
      <w:r w:rsidR="00283557">
        <w:rPr>
          <w:rFonts w:ascii="Arial" w:hAnsi="Arial" w:cs="Arial"/>
          <w:sz w:val="24"/>
          <w:szCs w:val="24"/>
        </w:rPr>
        <w:t xml:space="preserve">Subdirección Médica </w:t>
      </w:r>
      <w:r w:rsidRPr="0050545C">
        <w:rPr>
          <w:rFonts w:ascii="Arial" w:hAnsi="Arial" w:cs="Arial"/>
          <w:sz w:val="24"/>
          <w:szCs w:val="24"/>
        </w:rPr>
        <w:t xml:space="preserve"> </w:t>
      </w:r>
      <w:r w:rsidR="00280DDD">
        <w:rPr>
          <w:rFonts w:ascii="Arial" w:hAnsi="Arial" w:cs="Arial"/>
          <w:sz w:val="24"/>
          <w:szCs w:val="24"/>
        </w:rPr>
        <w:t>de la Unidad Hospitalaria</w:t>
      </w:r>
      <w:r w:rsidR="00280DDD" w:rsidRPr="0050545C">
        <w:rPr>
          <w:rFonts w:ascii="Arial" w:hAnsi="Arial" w:cs="Arial"/>
          <w:sz w:val="24"/>
          <w:szCs w:val="24"/>
        </w:rPr>
        <w:t xml:space="preserve"> </w:t>
      </w:r>
      <w:r w:rsidRPr="0050545C">
        <w:rPr>
          <w:rFonts w:ascii="Arial" w:hAnsi="Arial" w:cs="Arial"/>
          <w:sz w:val="24"/>
          <w:szCs w:val="24"/>
        </w:rPr>
        <w:t>Dr. Juan I. Menchaca</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 xml:space="preserve">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de Sujetos Obligados; Ley </w:t>
      </w:r>
      <w:bookmarkStart w:id="0" w:name="_GoBack"/>
      <w:bookmarkEnd w:id="0"/>
      <w:r w:rsidR="00DF42C0" w:rsidRPr="00DF42C0">
        <w:rPr>
          <w:rFonts w:ascii="Arial" w:hAnsi="Arial" w:cs="Arial"/>
          <w:color w:val="000000"/>
          <w:sz w:val="24"/>
          <w:szCs w:val="24"/>
          <w:shd w:val="clear" w:color="auto" w:fill="FFFFFF"/>
        </w:rPr>
        <w:t>de Transparencia y Acceso a la Información Pública del Estado de Jalisco y sus Municipios, artículo 24 fracción V; la Ley de Protección de Datos Personales en Posesión de Sujetos Obligados del Est</w:t>
      </w:r>
      <w:r w:rsidR="00523ABB">
        <w:rPr>
          <w:rFonts w:ascii="Arial" w:hAnsi="Arial" w:cs="Arial"/>
          <w:color w:val="000000"/>
          <w:sz w:val="24"/>
          <w:szCs w:val="24"/>
          <w:shd w:val="clear" w:color="auto" w:fill="FFFFFF"/>
        </w:rPr>
        <w:t>ado de Jalisco y sus Municipios</w:t>
      </w:r>
      <w:r w:rsidR="004D7891">
        <w:rPr>
          <w:rFonts w:ascii="Arial" w:hAnsi="Arial" w:cs="Arial"/>
          <w:color w:val="000000"/>
          <w:sz w:val="24"/>
          <w:szCs w:val="24"/>
          <w:shd w:val="clear" w:color="auto" w:fill="FFFFFF"/>
        </w:rPr>
        <w:t>.</w:t>
      </w:r>
    </w:p>
    <w:p w:rsidR="00831454"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50545C"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tbl>
      <w:tblPr>
        <w:tblStyle w:val="Tablaconcuadrcula"/>
        <w:tblW w:w="8647" w:type="dxa"/>
        <w:tblInd w:w="-5" w:type="dxa"/>
        <w:tblLook w:val="04A0" w:firstRow="1" w:lastRow="0" w:firstColumn="1" w:lastColumn="0" w:noHBand="0" w:noVBand="1"/>
      </w:tblPr>
      <w:tblGrid>
        <w:gridCol w:w="4253"/>
        <w:gridCol w:w="4394"/>
      </w:tblGrid>
      <w:tr w:rsidR="00283557" w:rsidRPr="00283557" w:rsidTr="00283557">
        <w:tc>
          <w:tcPr>
            <w:tcW w:w="4253" w:type="dxa"/>
            <w:tcBorders>
              <w:top w:val="single" w:sz="4" w:space="0" w:color="auto"/>
              <w:left w:val="single" w:sz="4" w:space="0" w:color="auto"/>
              <w:bottom w:val="single" w:sz="4" w:space="0" w:color="auto"/>
              <w:right w:val="single" w:sz="4" w:space="0" w:color="auto"/>
            </w:tcBorders>
            <w:hideMark/>
          </w:tcPr>
          <w:p w:rsidR="00283557" w:rsidRPr="00283557" w:rsidRDefault="001E6F43" w:rsidP="00283557">
            <w:pPr>
              <w:spacing w:line="240" w:lineRule="auto"/>
              <w:jc w:val="both"/>
              <w:rPr>
                <w:rFonts w:ascii="Arial" w:hAnsi="Arial" w:cs="Arial"/>
                <w:sz w:val="24"/>
                <w:szCs w:val="24"/>
              </w:rPr>
            </w:pPr>
            <w:r w:rsidRPr="00CD05D6">
              <w:rPr>
                <w:rFonts w:ascii="Arial" w:hAnsi="Arial" w:cs="Arial"/>
                <w:sz w:val="24"/>
                <w:szCs w:val="24"/>
              </w:rPr>
              <w:t xml:space="preserve"> </w:t>
            </w:r>
            <w:r w:rsidR="00283557" w:rsidRPr="00283557">
              <w:rPr>
                <w:rFonts w:ascii="Arial" w:hAnsi="Arial" w:cs="Arial"/>
                <w:sz w:val="24"/>
                <w:szCs w:val="24"/>
              </w:rPr>
              <w:t xml:space="preserve">Nombre del paciente </w:t>
            </w:r>
          </w:p>
        </w:tc>
        <w:tc>
          <w:tcPr>
            <w:tcW w:w="4394" w:type="dxa"/>
            <w:tcBorders>
              <w:top w:val="single" w:sz="4" w:space="0" w:color="auto"/>
              <w:left w:val="single" w:sz="4" w:space="0" w:color="auto"/>
              <w:bottom w:val="single" w:sz="4" w:space="0" w:color="auto"/>
              <w:right w:val="single" w:sz="4" w:space="0" w:color="auto"/>
            </w:tcBorders>
            <w:hideMark/>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Identificar al paciente</w:t>
            </w:r>
          </w:p>
        </w:tc>
      </w:tr>
      <w:tr w:rsidR="00283557" w:rsidRPr="00283557" w:rsidTr="00283557">
        <w:tc>
          <w:tcPr>
            <w:tcW w:w="4253" w:type="dxa"/>
            <w:tcBorders>
              <w:top w:val="single" w:sz="4" w:space="0" w:color="auto"/>
              <w:left w:val="single" w:sz="4" w:space="0" w:color="auto"/>
              <w:bottom w:val="single" w:sz="4" w:space="0" w:color="auto"/>
              <w:right w:val="single" w:sz="4" w:space="0" w:color="auto"/>
            </w:tcBorders>
            <w:hideMark/>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Número de registro Hospitalario</w:t>
            </w:r>
          </w:p>
        </w:tc>
        <w:tc>
          <w:tcPr>
            <w:tcW w:w="4394" w:type="dxa"/>
            <w:tcBorders>
              <w:top w:val="single" w:sz="4" w:space="0" w:color="auto"/>
              <w:left w:val="single" w:sz="4" w:space="0" w:color="auto"/>
              <w:bottom w:val="single" w:sz="4" w:space="0" w:color="auto"/>
              <w:right w:val="single" w:sz="4" w:space="0" w:color="auto"/>
            </w:tcBorders>
            <w:hideMark/>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 xml:space="preserve">Número que permite corroborar si el expediente clínico que menciona el solicitante corresponde al nombre del paciente con el que se tiene vinculado el número de registro hospitalario. </w:t>
            </w:r>
          </w:p>
        </w:tc>
      </w:tr>
      <w:tr w:rsidR="00283557" w:rsidRPr="00283557" w:rsidTr="00283557">
        <w:tc>
          <w:tcPr>
            <w:tcW w:w="4253"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Requerimiento del Solicitante</w:t>
            </w:r>
          </w:p>
        </w:tc>
        <w:tc>
          <w:tcPr>
            <w:tcW w:w="4394"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 xml:space="preserve">Identificar el área médica que proporcionará la respuesta de acuerdo a lo requerido.  </w:t>
            </w:r>
          </w:p>
        </w:tc>
      </w:tr>
      <w:tr w:rsidR="00283557" w:rsidRPr="00283557" w:rsidTr="00283557">
        <w:tc>
          <w:tcPr>
            <w:tcW w:w="4253"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Expediente clínico físico y electrónico</w:t>
            </w:r>
          </w:p>
        </w:tc>
        <w:tc>
          <w:tcPr>
            <w:tcW w:w="4394"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Para poder dar respuesta a lo requerido por el titular o familiar del titular</w:t>
            </w:r>
          </w:p>
        </w:tc>
      </w:tr>
      <w:tr w:rsidR="00283557" w:rsidRPr="00283557" w:rsidTr="00283557">
        <w:tc>
          <w:tcPr>
            <w:tcW w:w="4253"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Domicilio</w:t>
            </w:r>
          </w:p>
        </w:tc>
        <w:tc>
          <w:tcPr>
            <w:tcW w:w="4394"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Para localización del paciente</w:t>
            </w:r>
          </w:p>
        </w:tc>
      </w:tr>
      <w:tr w:rsidR="00283557" w:rsidRPr="00283557" w:rsidTr="00283557">
        <w:tc>
          <w:tcPr>
            <w:tcW w:w="4253"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lastRenderedPageBreak/>
              <w:t>Teléfono</w:t>
            </w:r>
          </w:p>
        </w:tc>
        <w:tc>
          <w:tcPr>
            <w:tcW w:w="4394"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Para localización del paciente</w:t>
            </w:r>
          </w:p>
        </w:tc>
      </w:tr>
      <w:tr w:rsidR="00283557" w:rsidRPr="00283557" w:rsidTr="00283557">
        <w:tc>
          <w:tcPr>
            <w:tcW w:w="4253"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Estado Civil</w:t>
            </w:r>
          </w:p>
        </w:tc>
        <w:tc>
          <w:tcPr>
            <w:tcW w:w="4394"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 xml:space="preserve">Se encuentra en la carátula del expediente clínico </w:t>
            </w:r>
          </w:p>
        </w:tc>
      </w:tr>
      <w:tr w:rsidR="00283557" w:rsidRPr="00283557" w:rsidTr="00283557">
        <w:tc>
          <w:tcPr>
            <w:tcW w:w="4253"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 xml:space="preserve">Servicio que Atiende </w:t>
            </w:r>
          </w:p>
        </w:tc>
        <w:tc>
          <w:tcPr>
            <w:tcW w:w="4394"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Para determinar el área que preparará la respuesta al solicitante.</w:t>
            </w:r>
          </w:p>
        </w:tc>
      </w:tr>
      <w:tr w:rsidR="00283557" w:rsidRPr="00283557" w:rsidTr="00283557">
        <w:tc>
          <w:tcPr>
            <w:tcW w:w="4253"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Diagnóstico</w:t>
            </w:r>
          </w:p>
        </w:tc>
        <w:tc>
          <w:tcPr>
            <w:tcW w:w="4394"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 xml:space="preserve">Se encuentra en el expediente clínico. </w:t>
            </w:r>
          </w:p>
        </w:tc>
      </w:tr>
      <w:tr w:rsidR="00283557" w:rsidRPr="00283557" w:rsidTr="00283557">
        <w:tc>
          <w:tcPr>
            <w:tcW w:w="4253"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Nombre del padre</w:t>
            </w:r>
          </w:p>
        </w:tc>
        <w:tc>
          <w:tcPr>
            <w:tcW w:w="4394"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Se encuentra en el expediente clínico</w:t>
            </w:r>
          </w:p>
        </w:tc>
      </w:tr>
      <w:tr w:rsidR="00283557" w:rsidRPr="00283557" w:rsidTr="00283557">
        <w:tc>
          <w:tcPr>
            <w:tcW w:w="4253"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Nombre de la madre</w:t>
            </w:r>
          </w:p>
        </w:tc>
        <w:tc>
          <w:tcPr>
            <w:tcW w:w="4394"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Se encuentra en el expediente clínico</w:t>
            </w:r>
          </w:p>
        </w:tc>
      </w:tr>
      <w:tr w:rsidR="00283557" w:rsidRPr="00283557" w:rsidTr="00283557">
        <w:tc>
          <w:tcPr>
            <w:tcW w:w="4253"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Ocupación</w:t>
            </w:r>
          </w:p>
        </w:tc>
        <w:tc>
          <w:tcPr>
            <w:tcW w:w="4394" w:type="dxa"/>
            <w:tcBorders>
              <w:top w:val="single" w:sz="4" w:space="0" w:color="auto"/>
              <w:left w:val="single" w:sz="4" w:space="0" w:color="auto"/>
              <w:bottom w:val="single" w:sz="4" w:space="0" w:color="auto"/>
              <w:right w:val="single" w:sz="4" w:space="0" w:color="auto"/>
            </w:tcBorders>
          </w:tcPr>
          <w:p w:rsidR="00283557" w:rsidRPr="00283557" w:rsidRDefault="00283557" w:rsidP="00283557">
            <w:pPr>
              <w:spacing w:line="240" w:lineRule="auto"/>
              <w:jc w:val="both"/>
              <w:rPr>
                <w:rFonts w:ascii="Arial" w:hAnsi="Arial" w:cs="Arial"/>
                <w:sz w:val="24"/>
                <w:szCs w:val="24"/>
              </w:rPr>
            </w:pPr>
            <w:r w:rsidRPr="00283557">
              <w:rPr>
                <w:rFonts w:ascii="Arial" w:hAnsi="Arial" w:cs="Arial"/>
                <w:sz w:val="24"/>
                <w:szCs w:val="24"/>
              </w:rPr>
              <w:t>Se encuentra en el expediente clínico</w:t>
            </w:r>
          </w:p>
        </w:tc>
      </w:tr>
    </w:tbl>
    <w:p w:rsidR="004D7891" w:rsidRPr="00CD05D6" w:rsidRDefault="001E6F43" w:rsidP="00CD05D6">
      <w:pPr>
        <w:spacing w:after="0"/>
        <w:ind w:right="49"/>
        <w:jc w:val="both"/>
        <w:rPr>
          <w:rFonts w:ascii="Arial" w:hAnsi="Arial" w:cs="Arial"/>
          <w:sz w:val="24"/>
          <w:szCs w:val="24"/>
        </w:rPr>
      </w:pPr>
      <w:r w:rsidRPr="00CD05D6">
        <w:rPr>
          <w:rFonts w:ascii="Arial" w:hAnsi="Arial" w:cs="Arial"/>
          <w:sz w:val="24"/>
          <w:szCs w:val="24"/>
        </w:rPr>
        <w:t xml:space="preserve">                                                    </w:t>
      </w:r>
    </w:p>
    <w:p w:rsidR="00831454"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831454">
        <w:rPr>
          <w:rFonts w:ascii="Arial" w:hAnsi="Arial" w:cs="Arial"/>
          <w:color w:val="000000" w:themeColor="text1"/>
          <w:sz w:val="24"/>
          <w:szCs w:val="24"/>
        </w:rPr>
        <w:t>:</w:t>
      </w:r>
    </w:p>
    <w:p w:rsidR="00283557" w:rsidRDefault="00283557" w:rsidP="00DF42C0">
      <w:pPr>
        <w:spacing w:after="0" w:line="240" w:lineRule="auto"/>
        <w:ind w:right="49"/>
        <w:jc w:val="both"/>
        <w:rPr>
          <w:rFonts w:ascii="Arial" w:hAnsi="Arial" w:cs="Arial"/>
          <w:color w:val="000000" w:themeColor="text1"/>
          <w:sz w:val="24"/>
          <w:szCs w:val="24"/>
        </w:rPr>
      </w:pPr>
    </w:p>
    <w:p w:rsidR="00283557" w:rsidRPr="00283557" w:rsidRDefault="00283557" w:rsidP="00283557">
      <w:pPr>
        <w:pStyle w:val="Prrafodelista"/>
        <w:numPr>
          <w:ilvl w:val="0"/>
          <w:numId w:val="24"/>
        </w:numPr>
        <w:autoSpaceDE w:val="0"/>
        <w:autoSpaceDN w:val="0"/>
        <w:adjustRightInd w:val="0"/>
        <w:spacing w:after="0" w:line="240" w:lineRule="auto"/>
        <w:ind w:right="49"/>
        <w:jc w:val="both"/>
        <w:rPr>
          <w:rFonts w:ascii="Arial" w:hAnsi="Arial" w:cs="Arial"/>
          <w:color w:val="000000" w:themeColor="text1"/>
          <w:sz w:val="24"/>
          <w:szCs w:val="24"/>
        </w:rPr>
      </w:pPr>
      <w:r w:rsidRPr="00283557">
        <w:rPr>
          <w:rFonts w:ascii="Arial" w:hAnsi="Arial" w:cs="Arial"/>
          <w:color w:val="000000" w:themeColor="text1"/>
          <w:sz w:val="24"/>
          <w:szCs w:val="24"/>
        </w:rPr>
        <w:t>Oficio de requerimiento</w:t>
      </w:r>
    </w:p>
    <w:p w:rsidR="00283557" w:rsidRPr="00283557" w:rsidRDefault="00283557" w:rsidP="00283557">
      <w:pPr>
        <w:pStyle w:val="Prrafodelista"/>
        <w:numPr>
          <w:ilvl w:val="0"/>
          <w:numId w:val="24"/>
        </w:numPr>
        <w:autoSpaceDE w:val="0"/>
        <w:autoSpaceDN w:val="0"/>
        <w:adjustRightInd w:val="0"/>
        <w:spacing w:after="0" w:line="240" w:lineRule="auto"/>
        <w:ind w:right="49"/>
        <w:jc w:val="both"/>
        <w:rPr>
          <w:rFonts w:ascii="Arial" w:hAnsi="Arial" w:cs="Arial"/>
          <w:color w:val="000000" w:themeColor="text1"/>
          <w:sz w:val="24"/>
          <w:szCs w:val="24"/>
        </w:rPr>
      </w:pPr>
      <w:r w:rsidRPr="00283557">
        <w:rPr>
          <w:rFonts w:ascii="Arial" w:hAnsi="Arial" w:cs="Arial"/>
          <w:color w:val="000000" w:themeColor="text1"/>
          <w:sz w:val="24"/>
          <w:szCs w:val="24"/>
        </w:rPr>
        <w:t>Expediente clínico</w:t>
      </w:r>
    </w:p>
    <w:p w:rsidR="0050545C" w:rsidRPr="00283557" w:rsidRDefault="00283557" w:rsidP="00283557">
      <w:pPr>
        <w:pStyle w:val="Prrafodelista"/>
        <w:numPr>
          <w:ilvl w:val="0"/>
          <w:numId w:val="24"/>
        </w:numPr>
        <w:autoSpaceDE w:val="0"/>
        <w:autoSpaceDN w:val="0"/>
        <w:adjustRightInd w:val="0"/>
        <w:spacing w:after="0" w:line="240" w:lineRule="auto"/>
        <w:ind w:right="49"/>
        <w:jc w:val="both"/>
        <w:rPr>
          <w:rFonts w:ascii="Arial" w:hAnsi="Arial" w:cs="Arial"/>
          <w:b/>
          <w:bCs/>
          <w:color w:val="000000"/>
          <w:sz w:val="28"/>
          <w:szCs w:val="28"/>
        </w:rPr>
      </w:pPr>
      <w:r w:rsidRPr="00283557">
        <w:rPr>
          <w:rFonts w:ascii="Arial" w:hAnsi="Arial" w:cs="Arial"/>
          <w:color w:val="000000" w:themeColor="text1"/>
          <w:sz w:val="24"/>
          <w:szCs w:val="24"/>
        </w:rPr>
        <w:t xml:space="preserve">Sistema </w:t>
      </w:r>
      <w:proofErr w:type="spellStart"/>
      <w:r w:rsidRPr="00283557">
        <w:rPr>
          <w:rFonts w:ascii="Arial" w:hAnsi="Arial" w:cs="Arial"/>
          <w:color w:val="000000" w:themeColor="text1"/>
          <w:sz w:val="24"/>
          <w:szCs w:val="24"/>
        </w:rPr>
        <w:t>Xhis</w:t>
      </w:r>
      <w:proofErr w:type="spellEnd"/>
      <w:r w:rsidRPr="00283557">
        <w:rPr>
          <w:rFonts w:ascii="Arial" w:hAnsi="Arial" w:cs="Arial"/>
          <w:color w:val="000000" w:themeColor="text1"/>
          <w:sz w:val="24"/>
          <w:szCs w:val="24"/>
        </w:rPr>
        <w:t xml:space="preserve"> (electrónico).</w:t>
      </w:r>
    </w:p>
    <w:p w:rsidR="00283557" w:rsidRPr="00283557" w:rsidRDefault="00283557" w:rsidP="00283557">
      <w:pPr>
        <w:autoSpaceDE w:val="0"/>
        <w:autoSpaceDN w:val="0"/>
        <w:adjustRightInd w:val="0"/>
        <w:spacing w:after="0" w:line="240" w:lineRule="auto"/>
        <w:ind w:left="502" w:right="49"/>
        <w:jc w:val="both"/>
        <w:rPr>
          <w:rFonts w:ascii="Arial" w:hAnsi="Arial" w:cs="Arial"/>
          <w:b/>
          <w:bCs/>
          <w:color w:val="000000"/>
          <w:sz w:val="28"/>
          <w:szCs w:val="28"/>
        </w:rPr>
      </w:pPr>
    </w:p>
    <w:p w:rsidR="00DF42C0" w:rsidRPr="00DF42C0" w:rsidRDefault="00DF42C0" w:rsidP="00DF42C0">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50545C" w:rsidRPr="00283557" w:rsidRDefault="00283557" w:rsidP="00283557">
      <w:pPr>
        <w:pStyle w:val="Prrafodelista"/>
        <w:numPr>
          <w:ilvl w:val="0"/>
          <w:numId w:val="25"/>
        </w:numPr>
        <w:autoSpaceDE w:val="0"/>
        <w:autoSpaceDN w:val="0"/>
        <w:adjustRightInd w:val="0"/>
        <w:spacing w:after="240" w:line="240" w:lineRule="auto"/>
        <w:ind w:right="49"/>
        <w:jc w:val="both"/>
        <w:rPr>
          <w:rFonts w:ascii="Arial" w:hAnsi="Arial" w:cs="Arial"/>
          <w:b/>
          <w:bCs/>
          <w:color w:val="000000"/>
          <w:sz w:val="28"/>
          <w:szCs w:val="28"/>
        </w:rPr>
      </w:pPr>
      <w:r w:rsidRPr="00283557">
        <w:rPr>
          <w:rFonts w:ascii="Arial" w:hAnsi="Arial" w:cs="Arial"/>
          <w:sz w:val="24"/>
          <w:szCs w:val="24"/>
        </w:rPr>
        <w:t>La captura de los datos personales en la base de Recibidos y Emitidos es con la finalidad de identificar al solicitante y su requerimiento, para otorgar el seguimiento correcto a su petición hasta la obtención de la respuesta positiva o negativa según se tenga o no la información requerida.</w:t>
      </w:r>
    </w:p>
    <w:p w:rsidR="00CD05D6" w:rsidRPr="00CD05D6" w:rsidRDefault="00CD05D6" w:rsidP="00CD05D6">
      <w:pPr>
        <w:autoSpaceDE w:val="0"/>
        <w:autoSpaceDN w:val="0"/>
        <w:adjustRightInd w:val="0"/>
        <w:spacing w:after="240" w:line="240" w:lineRule="auto"/>
        <w:ind w:right="49"/>
        <w:jc w:val="both"/>
        <w:rPr>
          <w:rFonts w:ascii="Arial" w:hAnsi="Arial" w:cs="Arial"/>
          <w:b/>
          <w:bCs/>
          <w:color w:val="000000"/>
          <w:sz w:val="28"/>
          <w:szCs w:val="28"/>
        </w:rPr>
      </w:pPr>
      <w:r w:rsidRPr="00CD05D6">
        <w:rPr>
          <w:rFonts w:ascii="Arial" w:hAnsi="Arial" w:cs="Arial"/>
          <w:b/>
          <w:bCs/>
          <w:color w:val="000000"/>
          <w:sz w:val="28"/>
          <w:szCs w:val="28"/>
        </w:rPr>
        <w:t>Transferencias d</w:t>
      </w:r>
      <w:r>
        <w:rPr>
          <w:rFonts w:ascii="Arial" w:hAnsi="Arial" w:cs="Arial"/>
          <w:b/>
          <w:bCs/>
          <w:color w:val="000000"/>
          <w:sz w:val="28"/>
          <w:szCs w:val="28"/>
        </w:rPr>
        <w:t>e datos personales:</w:t>
      </w:r>
    </w:p>
    <w:p w:rsidR="00372C34" w:rsidRDefault="0050545C" w:rsidP="00AC2F85">
      <w:pPr>
        <w:spacing w:after="0" w:line="240" w:lineRule="auto"/>
        <w:ind w:right="49"/>
        <w:jc w:val="both"/>
        <w:rPr>
          <w:rFonts w:ascii="Arial" w:hAnsi="Arial" w:cs="Arial"/>
          <w:sz w:val="24"/>
          <w:szCs w:val="24"/>
        </w:rPr>
      </w:pPr>
      <w:r>
        <w:rPr>
          <w:rFonts w:ascii="Arial" w:hAnsi="Arial" w:cs="Arial"/>
          <w:sz w:val="24"/>
          <w:szCs w:val="24"/>
        </w:rPr>
        <w:t>L</w:t>
      </w:r>
      <w:r w:rsidRPr="0050545C">
        <w:rPr>
          <w:rFonts w:ascii="Arial" w:hAnsi="Arial" w:cs="Arial"/>
          <w:sz w:val="24"/>
          <w:szCs w:val="24"/>
        </w:rPr>
        <w:t xml:space="preserve">a </w:t>
      </w:r>
      <w:r w:rsidR="00283557">
        <w:rPr>
          <w:rFonts w:ascii="Arial" w:hAnsi="Arial" w:cs="Arial"/>
          <w:sz w:val="24"/>
          <w:szCs w:val="24"/>
        </w:rPr>
        <w:t xml:space="preserve">Subdirección Médica </w:t>
      </w:r>
      <w:r w:rsidR="00280DDD">
        <w:rPr>
          <w:rFonts w:ascii="Arial" w:hAnsi="Arial" w:cs="Arial"/>
          <w:sz w:val="24"/>
          <w:szCs w:val="24"/>
        </w:rPr>
        <w:t>de la Unidad Hospitalaria</w:t>
      </w:r>
      <w:r w:rsidR="00280DDD" w:rsidRPr="0050545C">
        <w:rPr>
          <w:rFonts w:ascii="Arial" w:hAnsi="Arial" w:cs="Arial"/>
          <w:sz w:val="24"/>
          <w:szCs w:val="24"/>
        </w:rPr>
        <w:t xml:space="preserve"> </w:t>
      </w:r>
      <w:r w:rsidRPr="0050545C">
        <w:rPr>
          <w:rFonts w:ascii="Arial" w:hAnsi="Arial" w:cs="Arial"/>
          <w:sz w:val="24"/>
          <w:szCs w:val="24"/>
        </w:rPr>
        <w:t>Dr. Juan I. Menchaca</w:t>
      </w:r>
      <w:r w:rsidR="00CD05D6" w:rsidRPr="00CD05D6">
        <w:rPr>
          <w:rFonts w:ascii="Arial" w:hAnsi="Arial" w:cs="Arial"/>
          <w:sz w:val="24"/>
          <w:szCs w:val="24"/>
        </w:rPr>
        <w:t xml:space="preserve">, </w:t>
      </w:r>
      <w:r w:rsidR="00372C34" w:rsidRPr="00372C34">
        <w:rPr>
          <w:rFonts w:ascii="Arial" w:hAnsi="Arial" w:cs="Arial"/>
          <w:sz w:val="24"/>
          <w:szCs w:val="24"/>
        </w:rPr>
        <w:t>no lleva a cabo transferencias de datos personales salvo aquellas que sean necesarias para atender requerimientos de información de autoridad competente que se encuentren debidamente fundados y motivados, por lo que no será requerido su consentimiento para realizar las mismas, de conformidad con lo dispuesto por el artículo 75, fracción III, de la Ley de Protección de Datos Personales en Posesión de Sujetos Obligados del Estado de Jalisco.</w:t>
      </w:r>
    </w:p>
    <w:p w:rsidR="00372C34" w:rsidRDefault="00372C34" w:rsidP="00AC2F85">
      <w:pPr>
        <w:spacing w:after="0" w:line="240" w:lineRule="auto"/>
        <w:ind w:right="49"/>
        <w:jc w:val="both"/>
        <w:rPr>
          <w:rFonts w:ascii="Arial" w:hAnsi="Arial" w:cs="Arial"/>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CD05D6">
      <w:headerReference w:type="default" r:id="rId9"/>
      <w:pgSz w:w="12240" w:h="15840"/>
      <w:pgMar w:top="1702"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D59" w:rsidRDefault="00B32D59" w:rsidP="0038030A">
      <w:pPr>
        <w:spacing w:after="0" w:line="240" w:lineRule="auto"/>
      </w:pPr>
      <w:r>
        <w:separator/>
      </w:r>
    </w:p>
  </w:endnote>
  <w:endnote w:type="continuationSeparator" w:id="0">
    <w:p w:rsidR="00B32D59" w:rsidRDefault="00B32D59"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D59" w:rsidRDefault="00B32D59" w:rsidP="0038030A">
      <w:pPr>
        <w:spacing w:after="0" w:line="240" w:lineRule="auto"/>
      </w:pPr>
      <w:r>
        <w:separator/>
      </w:r>
    </w:p>
  </w:footnote>
  <w:footnote w:type="continuationSeparator" w:id="0">
    <w:p w:rsidR="00B32D59" w:rsidRDefault="00B32D59"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A51AF7"/>
    <w:multiLevelType w:val="hybridMultilevel"/>
    <w:tmpl w:val="765072D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203B2803"/>
    <w:multiLevelType w:val="hybridMultilevel"/>
    <w:tmpl w:val="82C2D59A"/>
    <w:lvl w:ilvl="0" w:tplc="080A000D">
      <w:start w:val="1"/>
      <w:numFmt w:val="bullet"/>
      <w:lvlText w:val=""/>
      <w:lvlJc w:val="left"/>
      <w:pPr>
        <w:ind w:left="862" w:hanging="360"/>
      </w:pPr>
      <w:rPr>
        <w:rFonts w:ascii="Wingdings" w:hAnsi="Wingdings"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4"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7"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8" w15:restartNumberingAfterBreak="0">
    <w:nsid w:val="28F73C48"/>
    <w:multiLevelType w:val="hybridMultilevel"/>
    <w:tmpl w:val="9D4CE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690A5A"/>
    <w:multiLevelType w:val="hybridMultilevel"/>
    <w:tmpl w:val="884685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5" w15:restartNumberingAfterBreak="0">
    <w:nsid w:val="34427FA5"/>
    <w:multiLevelType w:val="hybridMultilevel"/>
    <w:tmpl w:val="5A6A007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678C2CEC"/>
    <w:multiLevelType w:val="hybridMultilevel"/>
    <w:tmpl w:val="0A023F3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81252EE"/>
    <w:multiLevelType w:val="hybridMultilevel"/>
    <w:tmpl w:val="5BAEB3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8B40238"/>
    <w:multiLevelType w:val="hybridMultilevel"/>
    <w:tmpl w:val="7DA0C0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2"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15:restartNumberingAfterBreak="0">
    <w:nsid w:val="7DB60D12"/>
    <w:multiLevelType w:val="hybridMultilevel"/>
    <w:tmpl w:val="2AE6120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9"/>
  </w:num>
  <w:num w:numId="4">
    <w:abstractNumId w:val="21"/>
  </w:num>
  <w:num w:numId="5">
    <w:abstractNumId w:val="7"/>
  </w:num>
  <w:num w:numId="6">
    <w:abstractNumId w:val="5"/>
  </w:num>
  <w:num w:numId="7">
    <w:abstractNumId w:val="0"/>
  </w:num>
  <w:num w:numId="8">
    <w:abstractNumId w:val="10"/>
  </w:num>
  <w:num w:numId="9">
    <w:abstractNumId w:val="20"/>
  </w:num>
  <w:num w:numId="10">
    <w:abstractNumId w:val="23"/>
  </w:num>
  <w:num w:numId="11">
    <w:abstractNumId w:val="13"/>
  </w:num>
  <w:num w:numId="12">
    <w:abstractNumId w:val="2"/>
  </w:num>
  <w:num w:numId="13">
    <w:abstractNumId w:val="4"/>
  </w:num>
  <w:num w:numId="14">
    <w:abstractNumId w:val="6"/>
  </w:num>
  <w:num w:numId="15">
    <w:abstractNumId w:val="22"/>
  </w:num>
  <w:num w:numId="16">
    <w:abstractNumId w:val="14"/>
  </w:num>
  <w:num w:numId="17">
    <w:abstractNumId w:val="11"/>
  </w:num>
  <w:num w:numId="18">
    <w:abstractNumId w:val="15"/>
  </w:num>
  <w:num w:numId="19">
    <w:abstractNumId w:val="18"/>
  </w:num>
  <w:num w:numId="20">
    <w:abstractNumId w:val="8"/>
  </w:num>
  <w:num w:numId="21">
    <w:abstractNumId w:val="24"/>
  </w:num>
  <w:num w:numId="22">
    <w:abstractNumId w:val="19"/>
  </w:num>
  <w:num w:numId="23">
    <w:abstractNumId w:val="1"/>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F1E55"/>
    <w:rsid w:val="001031E5"/>
    <w:rsid w:val="001616F0"/>
    <w:rsid w:val="00183623"/>
    <w:rsid w:val="001D13A8"/>
    <w:rsid w:val="001E6F43"/>
    <w:rsid w:val="00246B10"/>
    <w:rsid w:val="00280DDD"/>
    <w:rsid w:val="00283557"/>
    <w:rsid w:val="00287780"/>
    <w:rsid w:val="002E20B7"/>
    <w:rsid w:val="00372C34"/>
    <w:rsid w:val="0038030A"/>
    <w:rsid w:val="003E55C1"/>
    <w:rsid w:val="00446BAA"/>
    <w:rsid w:val="00460DBE"/>
    <w:rsid w:val="00467B7C"/>
    <w:rsid w:val="00491717"/>
    <w:rsid w:val="004D7891"/>
    <w:rsid w:val="0050056D"/>
    <w:rsid w:val="0050304A"/>
    <w:rsid w:val="0050545C"/>
    <w:rsid w:val="0051363D"/>
    <w:rsid w:val="005235D1"/>
    <w:rsid w:val="00523ABB"/>
    <w:rsid w:val="00556CA7"/>
    <w:rsid w:val="005A27BB"/>
    <w:rsid w:val="005D0F4A"/>
    <w:rsid w:val="006713CF"/>
    <w:rsid w:val="0070792A"/>
    <w:rsid w:val="007814B8"/>
    <w:rsid w:val="007A2B1C"/>
    <w:rsid w:val="007B66EC"/>
    <w:rsid w:val="00831454"/>
    <w:rsid w:val="008A5AA3"/>
    <w:rsid w:val="0090132D"/>
    <w:rsid w:val="00914DBC"/>
    <w:rsid w:val="009657DC"/>
    <w:rsid w:val="00980708"/>
    <w:rsid w:val="009A603F"/>
    <w:rsid w:val="009A6864"/>
    <w:rsid w:val="009D681C"/>
    <w:rsid w:val="009F3429"/>
    <w:rsid w:val="00AC2F85"/>
    <w:rsid w:val="00AD501C"/>
    <w:rsid w:val="00B003E3"/>
    <w:rsid w:val="00B06EB6"/>
    <w:rsid w:val="00B06F7F"/>
    <w:rsid w:val="00B306D9"/>
    <w:rsid w:val="00B32D59"/>
    <w:rsid w:val="00BC1539"/>
    <w:rsid w:val="00BD4674"/>
    <w:rsid w:val="00BF1C08"/>
    <w:rsid w:val="00C00DD8"/>
    <w:rsid w:val="00C31CAE"/>
    <w:rsid w:val="00C4462C"/>
    <w:rsid w:val="00C45AD5"/>
    <w:rsid w:val="00CB4BFD"/>
    <w:rsid w:val="00CC1A50"/>
    <w:rsid w:val="00CD05D6"/>
    <w:rsid w:val="00CF1312"/>
    <w:rsid w:val="00D40383"/>
    <w:rsid w:val="00D40F3A"/>
    <w:rsid w:val="00D80690"/>
    <w:rsid w:val="00D923D6"/>
    <w:rsid w:val="00DE4E1E"/>
    <w:rsid w:val="00DF3436"/>
    <w:rsid w:val="00DF42C0"/>
    <w:rsid w:val="00E20C1F"/>
    <w:rsid w:val="00EC0578"/>
    <w:rsid w:val="00F31AD7"/>
    <w:rsid w:val="00F576BA"/>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788</Words>
  <Characters>4334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24</cp:revision>
  <cp:lastPrinted>2019-11-12T19:27:00Z</cp:lastPrinted>
  <dcterms:created xsi:type="dcterms:W3CDTF">2023-03-16T23:00:00Z</dcterms:created>
  <dcterms:modified xsi:type="dcterms:W3CDTF">2023-10-27T18:27:00Z</dcterms:modified>
</cp:coreProperties>
</file>